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40.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Iskolai tanulói útmutató · Pixelgrafikus ábrázolás</w:t>
      </w:r>
    </w:p>
    <w:p>
      <w:r>
        <w:t>Készíts 2–3 oldalas, sokszorosításra alkalmas tanulói útmutatót a „Pixelgrafikus ábrázolás” (Számítógépes grafika)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p>
      <w:r>
        <w:br w:type="page"/>
      </w:r>
    </w:p>
    <w:p>
      <w:r>
        <w:t>Komplex iskolai feladatlap · Pixelgrafikus ábrázolás</w:t>
      </w:r>
    </w:p>
    <w:p>
      <w:r>
        <w:t>Készíts reprodukálható, tanórai feladatlapot a „Pixelgrafikus ábrázolás” (Számítógépes grafika) feldolgozásához. Legyen benne rövid helyzetleírás, három egymásra épülő tanulói feladat, válaszhely, ellenőrzőlista és külön tanári javítási útmutató.</w:t>
      </w:r>
    </w:p>
    <w:p>
      <w:r>
        <w:t>Munkamenet</w:t>
      </w:r>
    </w:p>
    <w:p>
      <w:r>
        <w:t>Készíts fejlécet tantárgy-, név-, osztály- és dátummezővel.</w:t>
      </w:r>
    </w:p>
    <w:p>
      <w:r>
        <w:t>Formázd a feladatokat egységes számozott stílussal, a fontos adatokat táblázatban add meg.</w:t>
      </w:r>
    </w:p>
    <w:p>
      <w:r>
        <w:t>A tanulói példányban ne jelenjen meg a megoldás; a tanári útmutatót külön oldalon vagy külön dokumentumrészben helyezd el.</w:t>
      </w:r>
    </w:p>
    <w:p>
      <w:r>
        <w:t>Állítsd be a lapváltásokat, fejlécet/láblécet és ellenőrizd a nyomtathatóságot.</w:t>
      </w:r>
    </w:p>
    <w:p>
      <w:r>
        <w:t>Ellenőrzési szempontok</w:t>
      </w:r>
    </w:p>
    <w:p>
      <w:r>
        <w:t>A feladatok a megadott témához illeszkednek és végrehajthatók.</w:t>
      </w:r>
    </w:p>
    <w:p>
      <w:r>
        <w:t>A tanulói és tanári rész egyértelműen elválik.</w:t>
      </w:r>
    </w:p>
    <w:p>
      <w:r>
        <w:t>A dokumentum szerkesztése következetes, a válaszhely elegendő.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40.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