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31.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Projektmunkák ütemterve</w:t>
      </w:r>
    </w:p>
    <w:p>
      <w:r>
        <w:t>Készíts táblázatos ütemtervet egy iskolai tematikus naphoz: feladat, felelős, határidő, szükséges eszköz, állapot. Legalább 6 feladat szerepeljen.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A címsor legyen sötét háttérrel, a dátum oszlop egységes, az állapotot jelölő cellák eltérő árnyalatot kapjanak; az első sort ismételd meg, ha a táblázat több oldalra törik.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p>
      <w:r>
        <w:br w:type="page"/>
      </w:r>
    </w:p>
    <w:p>
      <w:r>
        <w:t>Osztály kirándulási költségterve</w:t>
      </w:r>
    </w:p>
    <w:p>
      <w:r>
        <w:t>Készíts költségterv-táblázatot utazás, belépő, étkezés, összesen bontásban; a fejléc tartalmazza a tétel, egységár, fő, részösszeg mezőket.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Egyesítsd a címhez szükséges cellákat, a pénzértékeket jobbra igazítsd, az összesítő sort félkövérrel és felső szegéllyel különítsd el.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31.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